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BDE0" w14:textId="18B15B3A" w:rsidR="000A1EC0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24724D">
        <w:rPr>
          <w:rFonts w:ascii="Arial" w:hAnsi="Arial" w:cs="Arial"/>
          <w:b/>
          <w:bCs/>
          <w:sz w:val="24"/>
          <w:szCs w:val="24"/>
        </w:rPr>
        <w:t xml:space="preserve">DE LA TESORERÍA MUNICIPAL </w:t>
      </w:r>
    </w:p>
    <w:p w14:paraId="3BE49C35" w14:textId="77777777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100.- El Reglamento que expida el Ayuntamiento tomará en cuenta las bases generales a que se refiere este capítulo. La Tesorería Municipal es el órgano de recaudación de los recursos financieros municipales, con las excepciones expresamente señaladas por la Ley. Esta dependencia, estará a cargo de un Tesorero Municipal que será designado por el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. </w:t>
      </w:r>
    </w:p>
    <w:p w14:paraId="385F516B" w14:textId="77777777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101.- Para ser Tesorero Municipal se requiere: I.- Ser ciudadano en pleno goce de sus derechos políticos y civiles; II.- Contar con título profesional preferentemente en contabilidad, finanzas públicas, administración o afines a las áreas económicas o contables administrativas, con experiencia mínima comprobable de un año en estas materias; Fracción reformada, P.O. Alcance dos del 17 de enero de 2024. III.- Ser de reconocida honorabilidad y honradez; IV.- No haber sido condenado mediante sentencia ejecutoriada, por delito doloso; V.- Caucionar el manejo de los fondos y cumplir con los requisitos que señalen otras leyes protectoras de la Hacienda Municipal; VII.- No ser ministro de algún culto religioso; y VII.- No contar con inhabilitación vigente para desempeñarse en un cargo, empleo o comisión en el servicio público. </w:t>
      </w:r>
    </w:p>
    <w:p w14:paraId="2DFE87ED" w14:textId="77777777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102.- Los Tesoreros Municipales, tomarán posesión de su cargo, previo el corte de caja y auditoría que se practique, el cual será revisado por el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 y el Síndico del Ayuntamiento y firmado por quien entregue y por quien reciba la Tesorería Municipal. En la misma diligencia, se entregarán y recibirán, respectivamente y por inventario, el archivo, los muebles, los útiles de la dependencia, los libros de registro anotados al día y la relación de deudores de todos los ramos de ingresos, así como la relación de obras en proceso, considerando el avance físico y financiero. </w:t>
      </w:r>
    </w:p>
    <w:p w14:paraId="4EB62C36" w14:textId="3DCAF3FA" w:rsidR="0024724D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103.- El acta, la auditoría, los cortes de caja e inventarios que con tal motivo se levanten, se formularán por quintuplicado para distribuir los respectivos ejemplares en la siguiente forma: archivo de la Tesorería, uno a las personas que entreguen, uno al Tesorero que reciba, uno al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 y uno al Síndico. Para el desempeño de sus funciones el Tesorero Municipal, contará con una Unidad Técnica de Finanzas y Contabilidad, cuyo titular refrendará con su firma los documentos oficiales suscritos por el primero de los nombrados. </w:t>
      </w:r>
    </w:p>
    <w:p w14:paraId="6D14373C" w14:textId="3BC34EE3" w:rsidR="005217D6" w:rsidRPr="0024724D" w:rsidRDefault="000A1EC0" w:rsidP="005217D6">
      <w:pPr>
        <w:spacing w:line="276" w:lineRule="auto"/>
        <w:ind w:left="-993" w:right="-567"/>
        <w:jc w:val="both"/>
        <w:rPr>
          <w:rFonts w:ascii="Arial" w:hAnsi="Arial" w:cs="Arial"/>
          <w:sz w:val="24"/>
          <w:szCs w:val="24"/>
        </w:rPr>
      </w:pPr>
      <w:r w:rsidRPr="0024724D">
        <w:rPr>
          <w:rFonts w:ascii="Arial" w:hAnsi="Arial" w:cs="Arial"/>
          <w:sz w:val="24"/>
          <w:szCs w:val="24"/>
        </w:rPr>
        <w:t xml:space="preserve">ARTÍCULO 104.- El Tesorero Municipal, tendrá como facultades y obligaciones, las siguientes: I. Recaudar, vigilar, administrar, concentrar, custodiar, verificar y situar las contribuciones y toda clase de ingresos municipales, conforme a la Ley de la materia y demás ordenamientos aplicables; II. Cobrar los créditos que correspondan a la Administración Pública Municipal, de acuerdo con las disposiciones legales; Ley Orgánica Municipal para el Estado de Hidalgo. Instituto de Estudios Legislativos. 56 III. Cuidar que se haga en tiempo y forma oportunos el cobro de los créditos fiscales municipales, con exactitud las liquidaciones, con prontitud el despacho de los asuntos de su competencia, en orden y debida comprobación las cuentas de ingresos y egresos; IV. Tener al día los libros de caja, diario, cuentas corrientes y los auxiliares y de registro que sean necesarios para la debida comprobación de los ingresos y egresos; V. Llevar la caja de la Tesorería, cuyos valores estarán siempre bajo su inmediato cuidado y exclusiva responsabilidad; VI. Cobrar los adeudos a favor del Municipio, con la debida eficiencia, cuidando que los rezagos no aumenten; VII. Participar con el Ayuntamiento en la </w:t>
      </w:r>
      <w:r w:rsidRPr="0024724D">
        <w:rPr>
          <w:rFonts w:ascii="Arial" w:hAnsi="Arial" w:cs="Arial"/>
          <w:sz w:val="24"/>
          <w:szCs w:val="24"/>
        </w:rPr>
        <w:lastRenderedPageBreak/>
        <w:t xml:space="preserve">formulación de la Ley de Ingresos Municipales y del Presupuesto de Egresos, apegándose a los ordenamientos legales aplicables y proporcionando oportunamente los datos e informes necesarios para esos fines; VIII. Verificar que las multas impuestas por las Autoridades Municipales ingresen a la Tesorería Municipal; IX. Gestionar visitas de inspección o auditoria a la Tesorería Municipal; X. Glosar oportunamente las cuentas del Ayuntamiento; XI. Proponer al Ayuntamiento, estrategias, medidas o disposiciones que tiendan a sanear y aumentar la Hacienda Pública del Municipio; XII. Dar cabal cumplimiento a los acuerdos y disposiciones que le sean emitidos por el Ayuntamiento y/o el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Municipal; Cuando el Ayuntamiento o el Presidente Municipal, ordene algún gasto que no reúna los requisitos legales, el Tesorero se abstendrá de pagarlo, fundando y motivando por escrito su abstención. XIII. Realizar junto con el Síndico, las gestiones oportunas en los asuntos en que tenga interés el erario Municipal; XIV. Remitir a la Auditoría Superior del Estado, los informes presupuestales, contables, financieros y de gestión que ésta requiera; XV. Presentar mensualmente al Ayuntamiento, el corte de caja de la Tesorería Municipal con el visto bueno del Síndico; XVI. Contestar oportunamente, las observaciones, recomendaciones y acciones promovidas por la Auditoría Superior del Estado, en los términos de la legislación vigente; XVII. Comunicar al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Municipal, las irregularidades en que incurran los empleados a su cargo; XVIII. Preservar y conservar los inmuebles, muebles, archivos, mobiliario, equipo de oficina, de cómputo y parque vehicular; XIX. Expedir copias certificadas de los documentos a su cuidado, en los términos y condiciones que señale el acuerdo expreso del Ayuntamiento, o del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Municipal; XX. Informar oportunamente al Ayuntamiento y al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Municipal, sobre las partidas que estén próximas a agotarse, para los efectos que procedan; XXI. Conformar y mantener actualizado el padrón de contribuyentes municipales; XXII. Proporcionar al Ayuntamiento y al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 los datos que éstos le soliciten respecto de las contribuciones que tienen; XXII Bis. Proporcionar, para la formulación del proyecto de Presupuesto de Egresos Municipales, la información relativa a la solución, o en su caso, al pago derivado de conflictos laborales; Fracción adicionada, P.O. Alcance dos del 17 de enero de 2024. XXIII. Comparecer ante el Ayuntamiento, cuando sea requerido; XXIV. Practicar diariamente, corte de caja de primera operación en el libro respectivo e informar al </w:t>
      </w:r>
      <w:proofErr w:type="gramStart"/>
      <w:r w:rsidRPr="0024724D">
        <w:rPr>
          <w:rFonts w:ascii="Arial" w:hAnsi="Arial" w:cs="Arial"/>
          <w:sz w:val="24"/>
          <w:szCs w:val="24"/>
        </w:rPr>
        <w:t>Presidente</w:t>
      </w:r>
      <w:proofErr w:type="gramEnd"/>
      <w:r w:rsidRPr="0024724D">
        <w:rPr>
          <w:rFonts w:ascii="Arial" w:hAnsi="Arial" w:cs="Arial"/>
          <w:sz w:val="24"/>
          <w:szCs w:val="24"/>
        </w:rPr>
        <w:t xml:space="preserve"> Municipal; XXV. Ejercer la facultad económico-coactiva, para hacer efectivos los créditos fiscales; XXVI. </w:t>
      </w:r>
      <w:proofErr w:type="spellStart"/>
      <w:r w:rsidRPr="0024724D">
        <w:rPr>
          <w:rFonts w:ascii="Arial" w:hAnsi="Arial" w:cs="Arial"/>
          <w:sz w:val="24"/>
          <w:szCs w:val="24"/>
        </w:rPr>
        <w:t>coVigilar</w:t>
      </w:r>
      <w:proofErr w:type="spellEnd"/>
      <w:r w:rsidRPr="0024724D">
        <w:rPr>
          <w:rFonts w:ascii="Arial" w:hAnsi="Arial" w:cs="Arial"/>
          <w:sz w:val="24"/>
          <w:szCs w:val="24"/>
        </w:rPr>
        <w:t xml:space="preserve"> que las acciones relativas a la planeación, programación, presupuestación, contratación, gasto y control de las adquisiciones y arrendamientos de bienes muebles y servicios de cualquier naturaleza se realicen conforme a la Ley de Adquisiciones, Arrendamientos y Servicios del Sector Público en lo que no se contraponga a los ordenamientos constitucionales que rigen a los Municipios; y XXVII. Las demás que le asignen las leyes y reglamentos.</w:t>
      </w:r>
    </w:p>
    <w:sectPr w:rsidR="005217D6" w:rsidRPr="0024724D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D"/>
    <w:rsid w:val="000A1EC0"/>
    <w:rsid w:val="0024724D"/>
    <w:rsid w:val="005217D6"/>
    <w:rsid w:val="00815CE5"/>
    <w:rsid w:val="00955B30"/>
    <w:rsid w:val="00D6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contr</cp:lastModifiedBy>
  <cp:revision>2</cp:revision>
  <dcterms:created xsi:type="dcterms:W3CDTF">2024-06-11T17:33:00Z</dcterms:created>
  <dcterms:modified xsi:type="dcterms:W3CDTF">2024-06-11T17:33:00Z</dcterms:modified>
</cp:coreProperties>
</file>