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2DA" w14:textId="74C3AEDB" w:rsidR="00E03216" w:rsidRPr="00FC6087" w:rsidRDefault="00C16D5B" w:rsidP="00C16D5B">
      <w:pPr>
        <w:spacing w:line="276" w:lineRule="auto"/>
        <w:ind w:left="-567" w:right="-567"/>
        <w:jc w:val="both"/>
        <w:rPr>
          <w:rFonts w:ascii="Arial" w:hAnsi="Arial" w:cs="Arial"/>
          <w:b/>
          <w:bCs/>
          <w:sz w:val="24"/>
          <w:szCs w:val="24"/>
        </w:rPr>
      </w:pPr>
      <w:r>
        <w:t xml:space="preserve">ARTÍCULO 117.- 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 I.- Vigilar que la planeación, programación, presupuestación, adjudicación, contratación, ejecución, conservación, mantenimiento, demolición, gasto y control de las obras públicas que deba realizar el Ayuntamiento y que los servicios relacionados con las mismas se realicen en términos de la Ley de Obras Públicas del Estado, no se contrapongan a los ordenamientos constitucionales que rigen a los municipios; II.- Hacer los estudios y presupuestos de las obras a cargo del Municipio; III.- Intervenir en el ámbito de su competencia, en las obras que el Municipio realice por sí, con participación del Estado o la Federación o en coordinación o asociación con otros municipios; IV.- Autorizar el uso del suelo y licencias de fraccionamiento que deba extender el Presidente Municipal, en los términos de las leyes federales, estatales y demás disposiciones aplicables en la materia; V.- Expedir permisos para la demolición, construcción, ampliación o remodelación de casas, edificios, banquetas, bardas, conexiones de drenaje y otros análogos; VI.- Substanciar y resolver el procedimiento administrativo correspondiente a las personas que, sin permiso o sin observar alguno de los requisitos, se encuentren relacionados con obras en construcción; VII.- Realizar avalúos; VIII.- Expedir constancia de alineamiento y números oficiales; IX.- Responder por las deficiencias que tengan las obras municipales que bajo su dirección se ejecuten; X.- Intervenir en la elaboración de los estudios y proyectos para el establecimiento y administración de las reservas territoriales del Municipio; XI.- Intervenir en la regularización de la tenencia de la tierra y preservar el entorno ecológico, en las obras que se realicen; XII.- Elaborar la propuesta de valores unitarios a que se refiere el artículo 58 de esta Ley; XIII.- Proponer al Ayuntamiento conforme a la Ley de la materia y en el ámbito de su competencia, los planes y programas de urbanismo, así como, formular la zonificación y el plan de desarrollo urbano; XIV.- Participar en la formulación de planes de desarrollo urbano y regional o metropolitanos sustentables, en los que intervenga la Federación, el Estado u otros Municipios, en concordancia con los planes generales de la materia; XV.- Realizar estudios, recabar información y opiniones, respecto a la elaboración de los planes municipales sobre asentamientos humanos; XVI.- Gestionar ante el Ayuntamiento, la expedición de los reglamentos y las disposiciones administrativas tendientes a regular el funcionamiento de su dependencia y dar operatividad a los planes de desarrollo municipal, en concordancia con la legislación federal y estatal en la materia; XVII.- Coadyuvar con el Ayuntamiento en la elaboración del Plan de Desarrollo Municipal; XXVIII.- (SIC) Comparecer ante el Ayuntamiento, cuando sea requerido; Fracción reformada, P.O. Alcance del 29 de marzo de 2023. XIX. Asistir al </w:t>
      </w:r>
      <w:proofErr w:type="gramStart"/>
      <w:r>
        <w:t>Presidente</w:t>
      </w:r>
      <w:proofErr w:type="gramEnd"/>
      <w:r>
        <w:t xml:space="preserve"> Municipal, en las funciones técnicas del Comité de Planeación para el Desarrollo Municipal; y Fracción reformada, P.O. Alcance del 29 de marzo de 2023. XX. Coadyuvar de manera coordinada con el titular del área de Protección Civil, en la elaboración o en su caso, con la actualización del Atlas Municipal de Riesgos. Ante la omisión de lo previsto en esta fracción, se estará a lo dispuesto por la legislación en materia de responsabilidades administrativas. Fracción reformada, P.O. Alcance del 29 de marzo de 2023. XXI.- Asegurarse que las obras públicas que estén bajo su cargo se planeen, construyan y ejecuten de Ley Orgánica Municipal para el Estado de Hidalgo. Instituto de Estudios Legislativos. 62 una manera que atiendan las necesidades de las personas con discapacidad, para que los espacios públicos sean accesibles e inclusivos para todas las personas.; y Fracción adicionada, P.O. Alcance dos del 30 de marzo de 2023 Fracción reformada P.O. Alcance tres del 15 de junio de 2023. XXII.- Proponer al Ayuntamiento, obras para la creación, recuperación o conservación de calles seguras para mujeres y niñas, con base a las guías, protocolos y lineamientos que emitan las autorizades competentes en la materia. Fracción adicionada P.O. Alcance tres del 15 de junio de 2023. El Titular de Obras Públicas deberá contar con título profesional en la materia, con licencia vigente de </w:t>
      </w:r>
      <w:proofErr w:type="gramStart"/>
      <w:r>
        <w:t>Director</w:t>
      </w:r>
      <w:proofErr w:type="gramEnd"/>
      <w:r>
        <w:t xml:space="preserve"> Responsable de Obra, con experiencia mínima de un año y preferentemente estar afiliado a algún Colegio de Profesionistas de la entidad o algún otro Colegio que tenga presencia a nivel nacional.</w:t>
      </w:r>
    </w:p>
    <w:sectPr w:rsidR="00E03216" w:rsidRPr="00FC6087"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4724D"/>
    <w:rsid w:val="005217D6"/>
    <w:rsid w:val="00555862"/>
    <w:rsid w:val="00815CE5"/>
    <w:rsid w:val="00955B30"/>
    <w:rsid w:val="00C16D5B"/>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746</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2024-06-11T17:44:00Z</dcterms:created>
  <dcterms:modified xsi:type="dcterms:W3CDTF">2024-06-11T17:44:00Z</dcterms:modified>
</cp:coreProperties>
</file>