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B1B40" w14:textId="77777777" w:rsidR="001124FB" w:rsidRPr="001124FB" w:rsidRDefault="001124FB" w:rsidP="00B219FE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124FB">
        <w:rPr>
          <w:rFonts w:ascii="Arial" w:hAnsi="Arial" w:cs="Arial"/>
          <w:b/>
          <w:bCs/>
          <w:sz w:val="24"/>
          <w:szCs w:val="24"/>
        </w:rPr>
        <w:t xml:space="preserve">De la Implementación de la Política de Mejora Regulatoria por los Poderes Legislativo y Judicial, los Organismos con Autonomía Constitucional y los Organismos con Jurisdicción Contenciosa que no formen parte de los poderes judiciales </w:t>
      </w:r>
    </w:p>
    <w:p w14:paraId="706711C6" w14:textId="15D22DFE" w:rsidR="003A55F8" w:rsidRDefault="001124FB" w:rsidP="004E7C82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1124FB">
        <w:rPr>
          <w:rFonts w:ascii="Arial" w:hAnsi="Arial" w:cs="Arial"/>
          <w:sz w:val="24"/>
          <w:szCs w:val="24"/>
        </w:rPr>
        <w:t>Artículo 30. Los Poderes Legislativo y Judicial, así como los organismos con autonomía constitucional, de los órdenes federal o local y los Organismos con Jurisdicción Contenciosa que no formen parte de los poderes judiciales, atendiendo a su presupuesto, deberán designar, dentro de su estructura orgánica, una instancia responsable encargada de aplicar lo establecido en el Capítulo I del Título Tercero de esta Ley en relación con el Catálogo, o bien, coordinarse con la Autoridad de Mejora Regulatoria del orden de gobierno al que pertenezcan.</w:t>
      </w:r>
    </w:p>
    <w:p w14:paraId="56E237EB" w14:textId="1B85EB2E" w:rsidR="00D62A80" w:rsidRPr="00D62A80" w:rsidRDefault="00D62A80" w:rsidP="004E7C82">
      <w:pPr>
        <w:spacing w:line="276" w:lineRule="auto"/>
        <w:ind w:left="-1134"/>
        <w:jc w:val="both"/>
        <w:rPr>
          <w:rFonts w:ascii="Arial" w:hAnsi="Arial" w:cs="Arial"/>
          <w:bCs/>
          <w:sz w:val="24"/>
          <w:szCs w:val="24"/>
        </w:rPr>
      </w:pPr>
      <w:r w:rsidRPr="00D62A80">
        <w:rPr>
          <w:rFonts w:ascii="Arial" w:hAnsi="Arial" w:cs="Arial"/>
          <w:bCs/>
          <w:sz w:val="24"/>
          <w:szCs w:val="24"/>
        </w:rPr>
        <w:t>Lo previsto en el párrafo anterior no será aplicable para procesos jurisdiccionales</w:t>
      </w:r>
    </w:p>
    <w:sectPr w:rsidR="00D62A80" w:rsidRPr="00D62A80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477CF"/>
    <w:rsid w:val="000A1EC0"/>
    <w:rsid w:val="000B22CB"/>
    <w:rsid w:val="001124FB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C3988"/>
    <w:rsid w:val="006D6882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B219FE"/>
    <w:rsid w:val="00C16D5B"/>
    <w:rsid w:val="00C538F9"/>
    <w:rsid w:val="00D50C6C"/>
    <w:rsid w:val="00D623ED"/>
    <w:rsid w:val="00D62A80"/>
    <w:rsid w:val="00E03216"/>
    <w:rsid w:val="00E521C3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4</cp:revision>
  <dcterms:created xsi:type="dcterms:W3CDTF">2024-06-11T19:53:00Z</dcterms:created>
  <dcterms:modified xsi:type="dcterms:W3CDTF">2025-01-07T21:27:00Z</dcterms:modified>
</cp:coreProperties>
</file>